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6" w:rsidRPr="005B3521" w:rsidRDefault="008808D6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808D6" w:rsidRPr="005B3521" w:rsidRDefault="008808D6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21">
        <w:rPr>
          <w:rFonts w:ascii="Times New Roman" w:hAnsi="Times New Roman" w:cs="Times New Roman"/>
          <w:b/>
          <w:sz w:val="24"/>
          <w:szCs w:val="24"/>
        </w:rPr>
        <w:t xml:space="preserve">о ходе </w:t>
      </w:r>
      <w:proofErr w:type="gramStart"/>
      <w:r w:rsidRPr="005B3521">
        <w:rPr>
          <w:rFonts w:ascii="Times New Roman" w:hAnsi="Times New Roman" w:cs="Times New Roman"/>
          <w:b/>
          <w:sz w:val="24"/>
          <w:szCs w:val="24"/>
        </w:rPr>
        <w:t>реализации положений Стандарта развития конкуренции</w:t>
      </w:r>
      <w:proofErr w:type="gramEnd"/>
      <w:r w:rsidRPr="005B352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B3521">
        <w:rPr>
          <w:rFonts w:ascii="Times New Roman" w:hAnsi="Times New Roman" w:cs="Times New Roman"/>
          <w:b/>
          <w:sz w:val="24"/>
          <w:szCs w:val="24"/>
        </w:rPr>
        <w:t>_</w:t>
      </w:r>
      <w:r w:rsidR="00B11E4D" w:rsidRPr="005B3521">
        <w:rPr>
          <w:rFonts w:ascii="Times New Roman" w:hAnsi="Times New Roman" w:cs="Times New Roman"/>
          <w:b/>
          <w:sz w:val="24"/>
          <w:szCs w:val="24"/>
          <w:u w:val="single"/>
        </w:rPr>
        <w:t>Ичалковском</w:t>
      </w:r>
      <w:r w:rsidRPr="005B3521">
        <w:rPr>
          <w:rFonts w:ascii="Times New Roman" w:hAnsi="Times New Roman" w:cs="Times New Roman"/>
          <w:b/>
          <w:sz w:val="24"/>
          <w:szCs w:val="24"/>
        </w:rPr>
        <w:t>_муниципальном</w:t>
      </w:r>
      <w:proofErr w:type="spellEnd"/>
      <w:r w:rsidRPr="005B352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bookmarkStart w:id="0" w:name="_GoBack"/>
      <w:bookmarkEnd w:id="0"/>
    </w:p>
    <w:p w:rsidR="008808D6" w:rsidRPr="005B3521" w:rsidRDefault="008808D6" w:rsidP="0088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6095"/>
      </w:tblGrid>
      <w:tr w:rsidR="008808D6" w:rsidTr="00EB2B09">
        <w:tc>
          <w:tcPr>
            <w:tcW w:w="817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№</w:t>
            </w:r>
          </w:p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E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6E4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095" w:type="dxa"/>
          </w:tcPr>
          <w:p w:rsidR="008808D6" w:rsidRPr="00066E45" w:rsidRDefault="008808D6" w:rsidP="0088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45">
              <w:rPr>
                <w:rFonts w:ascii="Times New Roman" w:hAnsi="Times New Roman" w:cs="Times New Roman"/>
                <w:b/>
              </w:rPr>
              <w:t>Ход реализации</w:t>
            </w:r>
          </w:p>
        </w:tc>
      </w:tr>
      <w:tr w:rsidR="008808D6" w:rsidTr="00EB2B09">
        <w:tc>
          <w:tcPr>
            <w:tcW w:w="817" w:type="dxa"/>
          </w:tcPr>
          <w:p w:rsidR="008808D6" w:rsidRPr="008808D6" w:rsidRDefault="008808D6" w:rsidP="008808D6">
            <w:pPr>
              <w:jc w:val="center"/>
              <w:rPr>
                <w:rFonts w:ascii="Times New Roman" w:hAnsi="Times New Roman" w:cs="Times New Roman"/>
              </w:rPr>
            </w:pPr>
            <w:r w:rsidRPr="008808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8808D6" w:rsidRPr="005553B4" w:rsidRDefault="008808D6" w:rsidP="006A3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>с 2016</w:t>
            </w:r>
            <w:r w:rsidR="00D54F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D54FD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r w:rsidR="005553B4" w:rsidRPr="00555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рабочей группы по содействию развитию конкуренции на территории  </w:t>
            </w:r>
            <w:r w:rsidR="006A3E27">
              <w:rPr>
                <w:rFonts w:ascii="Times New Roman" w:eastAsia="Calibri" w:hAnsi="Times New Roman" w:cs="Times New Roman"/>
                <w:sz w:val="20"/>
                <w:szCs w:val="20"/>
              </w:rPr>
              <w:t>Ичалковского</w:t>
            </w:r>
            <w:r w:rsidR="005553B4" w:rsidRPr="00555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6A3E2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C3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FC3681">
              <w:rPr>
                <w:rFonts w:ascii="Times New Roman" w:hAnsi="Times New Roman" w:cs="Times New Roman"/>
                <w:sz w:val="20"/>
                <w:szCs w:val="20"/>
              </w:rPr>
              <w:t>то отражено в протоколах №1 от 23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г., №2 от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  <w:r w:rsidR="00FC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2017 г., №3 от </w:t>
            </w:r>
            <w:r w:rsidR="00FC3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0 июля</w:t>
            </w:r>
            <w:r w:rsidR="00FC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 xml:space="preserve">.,  №4 от 23 октября 2017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. Эта информация размещена на официальном сайте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 xml:space="preserve">Ичалковского </w:t>
            </w:r>
            <w:r w:rsidR="005553B4" w:rsidRPr="005553B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района.</w:t>
            </w:r>
            <w:proofErr w:type="gramEnd"/>
          </w:p>
        </w:tc>
        <w:tc>
          <w:tcPr>
            <w:tcW w:w="6095" w:type="dxa"/>
          </w:tcPr>
          <w:p w:rsidR="008808D6" w:rsidRPr="008808D6" w:rsidRDefault="008808D6" w:rsidP="00880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5A8" w:rsidTr="00EB2B09">
        <w:tc>
          <w:tcPr>
            <w:tcW w:w="817" w:type="dxa"/>
          </w:tcPr>
          <w:p w:rsidR="00C275A8" w:rsidRPr="006A4B22" w:rsidRDefault="00C275A8" w:rsidP="008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5A8" w:rsidRPr="005553B4" w:rsidRDefault="00C275A8" w:rsidP="006A3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>Первое заседание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группы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состоялось </w:t>
            </w:r>
            <w:r w:rsidR="00FC36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5" w:type="dxa"/>
          </w:tcPr>
          <w:p w:rsidR="00AE6640" w:rsidRPr="00F73333" w:rsidRDefault="006A3E27" w:rsidP="00AE66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 ходе заседания приняли План мероприятий  («дорожная карта») по содействию развитию конкуренции Ичалковского муниципального района.</w:t>
            </w:r>
          </w:p>
          <w:p w:rsidR="00C275A8" w:rsidRPr="00F73333" w:rsidRDefault="00C275A8" w:rsidP="00C275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5A8" w:rsidTr="00EB2B09">
        <w:tc>
          <w:tcPr>
            <w:tcW w:w="817" w:type="dxa"/>
          </w:tcPr>
          <w:p w:rsidR="00C275A8" w:rsidRPr="006A4B22" w:rsidRDefault="00C275A8" w:rsidP="008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5A8" w:rsidRPr="006A4B22" w:rsidRDefault="003A51A3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рабоче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й группы состоялось 1</w:t>
            </w:r>
            <w:r w:rsidR="00747F8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747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6095" w:type="dxa"/>
          </w:tcPr>
          <w:p w:rsidR="00C275A8" w:rsidRPr="00F73333" w:rsidRDefault="003A51A3" w:rsidP="006A3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В ходе заседания </w:t>
            </w:r>
            <w:r w:rsidR="006A3E27" w:rsidRPr="00F73333">
              <w:rPr>
                <w:rFonts w:ascii="Times New Roman" w:hAnsi="Times New Roman" w:cs="Times New Roman"/>
                <w:sz w:val="18"/>
                <w:szCs w:val="18"/>
              </w:rPr>
              <w:t>утвердили Инвестиционную стратегию Ичалковского муниципального района Республики Мордовия до 2022 г.</w:t>
            </w:r>
          </w:p>
        </w:tc>
      </w:tr>
      <w:tr w:rsidR="00C275A8" w:rsidTr="00EB2B09">
        <w:tc>
          <w:tcPr>
            <w:tcW w:w="817" w:type="dxa"/>
          </w:tcPr>
          <w:p w:rsidR="00C275A8" w:rsidRPr="006A4B22" w:rsidRDefault="00C275A8" w:rsidP="008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5A8" w:rsidRPr="006A4B22" w:rsidRDefault="003D69F6" w:rsidP="006A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Третье 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>заседание рабоче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группы состоялось </w:t>
            </w:r>
            <w:r w:rsidR="006A3E27">
              <w:rPr>
                <w:rFonts w:ascii="Times New Roman" w:hAnsi="Times New Roman" w:cs="Times New Roman"/>
                <w:sz w:val="20"/>
                <w:szCs w:val="20"/>
              </w:rPr>
              <w:t>10 июля</w:t>
            </w:r>
            <w:r w:rsidR="00D30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3B4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6095" w:type="dxa"/>
          </w:tcPr>
          <w:p w:rsidR="00C275A8" w:rsidRPr="00F73333" w:rsidRDefault="003D69F6" w:rsidP="006A3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 ходе заседания</w:t>
            </w:r>
            <w:r w:rsidR="006A3E27" w:rsidRPr="00F73333">
              <w:rPr>
                <w:sz w:val="18"/>
                <w:szCs w:val="18"/>
              </w:rPr>
              <w:t xml:space="preserve">  о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бсуд</w:t>
            </w:r>
            <w:r w:rsidR="001756A4" w:rsidRPr="00F7333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отчет </w:t>
            </w:r>
            <w:r w:rsidR="00D3045E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о ходе реализации Плана мероприятий (дорожная карта) по содействию развитию конкуренции за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A3E27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полугодие 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6A3E27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  <w:r w:rsidR="00FA5F3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D3045E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756A4" w:rsidRPr="00F73333">
              <w:rPr>
                <w:sz w:val="18"/>
                <w:szCs w:val="18"/>
              </w:rPr>
              <w:t xml:space="preserve"> </w:t>
            </w:r>
            <w:r w:rsidR="001756A4" w:rsidRPr="00F733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тметил</w:t>
            </w:r>
            <w:r w:rsidR="001756A4" w:rsidRPr="00F733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56A4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045E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положительную динамику.</w:t>
            </w:r>
          </w:p>
        </w:tc>
      </w:tr>
      <w:tr w:rsidR="006A3E27" w:rsidTr="00EB2B09">
        <w:tc>
          <w:tcPr>
            <w:tcW w:w="817" w:type="dxa"/>
          </w:tcPr>
          <w:p w:rsidR="006A3E27" w:rsidRPr="006A4B22" w:rsidRDefault="006A3E27" w:rsidP="0088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E27" w:rsidRDefault="006A3E27" w:rsidP="006A3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Четвертое заседание рабочей группы состоялось 23 октября 2017 года</w:t>
            </w:r>
          </w:p>
        </w:tc>
        <w:tc>
          <w:tcPr>
            <w:tcW w:w="6095" w:type="dxa"/>
          </w:tcPr>
          <w:p w:rsidR="006A3E27" w:rsidRPr="00F73333" w:rsidRDefault="006A3E27" w:rsidP="006A3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В ходе заседания был проведен обучающий тренинг по вопросу «Содействие развитию конкуренции в 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Ичалковском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районе», а также  проведено ознакомление  со Стандартом развития конкуренции.</w:t>
            </w:r>
          </w:p>
        </w:tc>
      </w:tr>
      <w:tr w:rsidR="00F73333" w:rsidTr="00A7455C">
        <w:tc>
          <w:tcPr>
            <w:tcW w:w="9464" w:type="dxa"/>
            <w:gridSpan w:val="3"/>
          </w:tcPr>
          <w:p w:rsidR="00F73333" w:rsidRDefault="00F73333" w:rsidP="00F73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333" w:rsidRPr="005B3521" w:rsidRDefault="00F73333" w:rsidP="00F7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521">
              <w:rPr>
                <w:rFonts w:ascii="Times New Roman" w:hAnsi="Times New Roman" w:cs="Times New Roman"/>
                <w:b/>
              </w:rPr>
              <w:t>Внедрение Стандарта на территории  Ичалковского</w:t>
            </w:r>
            <w:r w:rsidR="005B3521">
              <w:rPr>
                <w:rFonts w:ascii="Times New Roman" w:hAnsi="Times New Roman" w:cs="Times New Roman"/>
                <w:b/>
              </w:rPr>
              <w:t xml:space="preserve"> </w:t>
            </w:r>
            <w:r w:rsidRPr="005B3521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73333" w:rsidRPr="00F73333" w:rsidRDefault="00F73333" w:rsidP="00F73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5A8" w:rsidTr="00EB2B09">
        <w:tc>
          <w:tcPr>
            <w:tcW w:w="817" w:type="dxa"/>
          </w:tcPr>
          <w:p w:rsidR="00C275A8" w:rsidRPr="008808D6" w:rsidRDefault="00C275A8" w:rsidP="0088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5A8" w:rsidRPr="00F73333" w:rsidRDefault="00021DC2" w:rsidP="00B1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План мероприятий ("дорожная карта") по содействию развитию конкуренции в </w:t>
            </w:r>
            <w:proofErr w:type="spellStart"/>
            <w:r w:rsidR="00B11E4D"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Ичалковском</w:t>
            </w:r>
            <w:proofErr w:type="spellEnd"/>
            <w:r w:rsidR="00B11E4D"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муниципальном районе разработан в соответствии со</w:t>
            </w:r>
            <w:r w:rsidRPr="00F73333">
              <w:rPr>
                <w:rStyle w:val="apple-converted-space"/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 Стандартом развития конкуренции в субъектах Российской Федерации. </w:t>
            </w:r>
            <w:r w:rsidR="00F97563"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В "дорожной карте" определен комплекс мероприятий по развитию конкуренции, в том числе организационных мероприятий по внедрению Стандарта, общесистемных мероприятий, а также мероприятий по содействию развитию конкурентной среды для каждого из социально значимых рынков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. Обзор состояния конкурентной среды в </w:t>
            </w:r>
            <w:proofErr w:type="spellStart"/>
            <w:r w:rsidR="00B11E4D"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Ичалковском</w:t>
            </w:r>
            <w:proofErr w:type="spellEnd"/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lastRenderedPageBreak/>
              <w:t>муниципальном районе представлен по 11 социально значимым</w:t>
            </w:r>
            <w:r w:rsidR="00D7644F"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и 2 приоритетным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 xml:space="preserve"> рынкам, рекомендуемым к обязательному включению в перечень рынков в соответствии со Стандартом.</w:t>
            </w:r>
          </w:p>
        </w:tc>
        <w:tc>
          <w:tcPr>
            <w:tcW w:w="6095" w:type="dxa"/>
          </w:tcPr>
          <w:p w:rsidR="00C275A8" w:rsidRPr="00F73333" w:rsidRDefault="00C275A8" w:rsidP="0088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DC2" w:rsidTr="00EB2B09">
        <w:tc>
          <w:tcPr>
            <w:tcW w:w="817" w:type="dxa"/>
          </w:tcPr>
          <w:p w:rsidR="00021DC2" w:rsidRPr="0005700B" w:rsidRDefault="0005700B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021DC2" w:rsidRPr="00F73333" w:rsidRDefault="0005700B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Рынок услуг дошкольного образования</w:t>
            </w:r>
          </w:p>
        </w:tc>
        <w:tc>
          <w:tcPr>
            <w:tcW w:w="6095" w:type="dxa"/>
          </w:tcPr>
          <w:p w:rsidR="00021DC2" w:rsidRPr="00F73333" w:rsidRDefault="00765CD1" w:rsidP="001C12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Конкурентная среда в сфере дошкольных образовательных услуг </w:t>
            </w:r>
            <w:r w:rsidR="0038690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преимущественно представлена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муниципальны</w:t>
            </w:r>
            <w:r w:rsidR="0038690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ми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дошкольны</w:t>
            </w:r>
            <w:r w:rsidR="0038690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ми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образовательны</w:t>
            </w:r>
            <w:r w:rsidR="0038690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ми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учреждени</w:t>
            </w:r>
            <w:r w:rsidR="0038690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ями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.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700B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дошкольного образования представлен </w:t>
            </w:r>
            <w:r w:rsidR="001C122D" w:rsidRPr="00F733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5700B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дошкольными образовательными учреждениями.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 направленных на развитие рынка дошкольного образования положительно повлияло </w:t>
            </w:r>
            <w:r w:rsidR="00803D6E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достигнутый показатель</w:t>
            </w:r>
            <w:r w:rsidR="0038690D" w:rsidRPr="00F733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90D" w:rsidRPr="00F7333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5700B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оля детей охваченных дошкольным образованием в общей численности детей </w:t>
            </w:r>
            <w:r w:rsidR="0038690D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05700B" w:rsidRPr="00F73333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 w:rsidR="0038690D" w:rsidRPr="00F73333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r w:rsidR="0005700B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100%. Из этого можно сделать вывод, что в настоящее время рынок услуг дошкольного образования не нуждается в дополнительной организации частных детских садов.</w:t>
            </w:r>
          </w:p>
        </w:tc>
      </w:tr>
      <w:tr w:rsidR="000C2FE7" w:rsidTr="00EB2B09">
        <w:tc>
          <w:tcPr>
            <w:tcW w:w="817" w:type="dxa"/>
          </w:tcPr>
          <w:p w:rsidR="000C2FE7" w:rsidRPr="0005700B" w:rsidRDefault="000C2FE7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0C2FE7" w:rsidRPr="00F73333" w:rsidRDefault="000C2FE7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Рынок услуг дополнительного образования</w:t>
            </w:r>
          </w:p>
        </w:tc>
        <w:tc>
          <w:tcPr>
            <w:tcW w:w="6095" w:type="dxa"/>
          </w:tcPr>
          <w:p w:rsidR="000C2FE7" w:rsidRPr="00F73333" w:rsidRDefault="000C2FE7" w:rsidP="000E5ED3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3333">
              <w:rPr>
                <w:rFonts w:ascii="Times New Roman" w:hAnsi="Times New Roman"/>
                <w:sz w:val="18"/>
                <w:szCs w:val="18"/>
              </w:rPr>
              <w:t>Проблема выхода частного бизнеса на рынок услуг дополнительного образования определен</w:t>
            </w:r>
            <w:r w:rsidR="000E5ED3" w:rsidRPr="00F73333">
              <w:rPr>
                <w:rFonts w:ascii="Times New Roman" w:hAnsi="Times New Roman"/>
                <w:sz w:val="18"/>
                <w:szCs w:val="18"/>
              </w:rPr>
              <w:t>а</w:t>
            </w:r>
            <w:r w:rsidRPr="00F73333">
              <w:rPr>
                <w:rFonts w:ascii="Times New Roman" w:hAnsi="Times New Roman"/>
                <w:sz w:val="18"/>
                <w:szCs w:val="18"/>
              </w:rPr>
              <w:t xml:space="preserve"> нестабильностью спроса на данные услуги (сезонность предоставления, кризисные моменты в экономике); высокий уровень затрат на востребованные направления  деятельности (техническое творчество) и, как следствие, высокая цена услуги для потребителя.</w:t>
            </w:r>
          </w:p>
        </w:tc>
      </w:tr>
      <w:tr w:rsidR="00B06341" w:rsidTr="00EB2B09">
        <w:tc>
          <w:tcPr>
            <w:tcW w:w="817" w:type="dxa"/>
          </w:tcPr>
          <w:p w:rsidR="00B06341" w:rsidRPr="0005700B" w:rsidRDefault="007B238F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B06341" w:rsidRPr="00F73333" w:rsidRDefault="007B238F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  <w:t>Рынок услуг детского отдыха и оздоровления</w:t>
            </w:r>
          </w:p>
        </w:tc>
        <w:tc>
          <w:tcPr>
            <w:tcW w:w="6095" w:type="dxa"/>
          </w:tcPr>
          <w:p w:rsidR="00B06341" w:rsidRPr="00F73333" w:rsidRDefault="002B3279" w:rsidP="002B3279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На территории действуют ОАО «Санаторий «Алатырь», детские оздоровительные лагеря «Орленок» ОАО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Электровыпрямитель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Вастома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» Министерства образования. Ежегодно отдыхают в: ОАО «Санаторий «Алатырь»- около 500 детей, детском лагере «Орленок» - около 800 детей,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Вастома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» - 78 детей из 4 детских домов на весь летний сезон. Кроме того в июне месяце 2017 года  в 12 пришкольных лагерях отдохнули 443  ребенка. </w:t>
            </w:r>
            <w:proofErr w:type="gramStart"/>
            <w:r w:rsidR="00356ACC" w:rsidRPr="00F73333">
              <w:rPr>
                <w:rFonts w:ascii="Times New Roman" w:hAnsi="Times New Roman" w:cs="Times New Roman"/>
                <w:sz w:val="18"/>
                <w:szCs w:val="18"/>
              </w:rPr>
              <w:t>Барьером выхода на рынок негосударственных (немуниципальных) организаций отдыха и оздоровления детей являются: высокие требования стандартов качества предоставляемой услуги; соответствие современным санитарно-эпидемиологическим требованиям и нормам пожарной и антитеррористической безопасности; слабое программно-методическое и образовательно-воспитательное обеспечение;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воспитанников на отдыхе.</w:t>
            </w:r>
            <w:proofErr w:type="gramEnd"/>
            <w:r w:rsidR="007B238F" w:rsidRPr="00F73333">
              <w:rPr>
                <w:sz w:val="18"/>
                <w:szCs w:val="18"/>
              </w:rPr>
              <w:t xml:space="preserve"> </w:t>
            </w:r>
            <w:r w:rsidR="007B238F" w:rsidRPr="00F73333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работы загородного детского оздоровительного лагеря необходимо не только укреплять и развива</w:t>
            </w:r>
            <w:r w:rsidR="00356ACC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ть материально-техническую базу, </w:t>
            </w:r>
            <w:r w:rsidR="007B238F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но и изыскивать дополнительные меры для усиления образовательной </w:t>
            </w:r>
            <w:r w:rsidR="00356ACC" w:rsidRPr="00F73333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  <w:r w:rsidR="007B238F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и вариативности программ детского отдыха. Для развития конкуренции на рынке детского отдыха и оздоровления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r w:rsidR="00356ACC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7B238F" w:rsidRPr="00F73333">
              <w:rPr>
                <w:rFonts w:ascii="Times New Roman" w:hAnsi="Times New Roman" w:cs="Times New Roman"/>
                <w:sz w:val="18"/>
                <w:szCs w:val="18"/>
              </w:rPr>
              <w:t>, повышения удовлетворенности населения данными услугами, необходимо создавать условия для привлечения на данный рынок частных организаций.</w:t>
            </w:r>
          </w:p>
        </w:tc>
      </w:tr>
      <w:tr w:rsidR="00464DAC" w:rsidTr="00EB2B09">
        <w:tc>
          <w:tcPr>
            <w:tcW w:w="817" w:type="dxa"/>
          </w:tcPr>
          <w:p w:rsidR="00464DAC" w:rsidRDefault="00464DAC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464DAC" w:rsidRPr="00F73333" w:rsidRDefault="00464DAC" w:rsidP="00BB7D43">
            <w:pPr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095" w:type="dxa"/>
          </w:tcPr>
          <w:p w:rsidR="00464DAC" w:rsidRPr="00F73333" w:rsidRDefault="002B3279" w:rsidP="005965F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6 детей-инвалидов обучаются дистанционно на дому</w:t>
            </w:r>
            <w:r w:rsidR="00AF3D31" w:rsidRPr="00F73333">
              <w:rPr>
                <w:rFonts w:ascii="Times New Roman" w:hAnsi="Times New Roman" w:cs="Times New Roman"/>
                <w:sz w:val="18"/>
                <w:szCs w:val="18"/>
              </w:rPr>
              <w:t>. При заключении социального контракта проводится работа по сопровождению малоимущих семей: вопросы трудоустройства, предоставление материальной помощи на ремонт жилья, погашение коммунальных услуг, приобретение продуктов, организация  помещения в лечебные учреждения, устройство в детские дошкольные учреждения.</w:t>
            </w:r>
          </w:p>
        </w:tc>
      </w:tr>
      <w:tr w:rsidR="00AE19D8" w:rsidTr="00EB2B09">
        <w:tc>
          <w:tcPr>
            <w:tcW w:w="817" w:type="dxa"/>
          </w:tcPr>
          <w:p w:rsidR="00AE19D8" w:rsidRDefault="00AE19D8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AE19D8" w:rsidRPr="00F73333" w:rsidRDefault="00AE19D8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медицинских услуг</w:t>
            </w:r>
          </w:p>
        </w:tc>
        <w:tc>
          <w:tcPr>
            <w:tcW w:w="6095" w:type="dxa"/>
          </w:tcPr>
          <w:p w:rsidR="00AE19D8" w:rsidRPr="00F73333" w:rsidRDefault="00B948C5" w:rsidP="00AF3D3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Рынок розничной продажи лекарств, иных фармацевтических товаров и медицинской техники в </w:t>
            </w:r>
            <w:proofErr w:type="spellStart"/>
            <w:r w:rsidR="002B3279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Ичалковском</w:t>
            </w:r>
            <w:proofErr w:type="spellEnd"/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муниципальном районе по состоянию на 01.0</w:t>
            </w:r>
            <w:r w:rsidR="002B3279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1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.201</w:t>
            </w:r>
            <w:r w:rsidR="00AF3D31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8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представлен 4 аптечными организациями (юридическими лицами). </w:t>
            </w:r>
            <w:r w:rsidR="00B55E9B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 составляет </w:t>
            </w:r>
            <w:r w:rsidR="002B3279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75</w:t>
            </w:r>
            <w:r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%.</w:t>
            </w:r>
            <w:r w:rsidR="00AE0FCD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2B3279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В с. </w:t>
            </w:r>
            <w:proofErr w:type="spellStart"/>
            <w:r w:rsidR="002B3279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Кемля</w:t>
            </w:r>
            <w:proofErr w:type="spellEnd"/>
            <w:r w:rsidR="00B55E9B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717A10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предоставляются услуги профессионального массажиста</w:t>
            </w:r>
            <w:r w:rsidR="00AF3D31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.</w:t>
            </w:r>
            <w:r w:rsidR="00B55E9B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  <w:r w:rsidR="00717A10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2F6993" w:rsidRPr="00F73333" w:rsidRDefault="002F6993" w:rsidP="0005700B">
            <w:pPr>
              <w:jc w:val="both"/>
              <w:rPr>
                <w:rFonts w:ascii="Times New Roman" w:hAnsi="Times New Roman" w:cs="Times New Roman"/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F73333">
              <w:rPr>
                <w:rFonts w:ascii="Times New Roman" w:hAnsi="Times New Roman" w:cs="Times New Roman"/>
                <w:bCs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6095" w:type="dxa"/>
          </w:tcPr>
          <w:p w:rsidR="002F6993" w:rsidRPr="00F73333" w:rsidRDefault="00EC3157" w:rsidP="00AF3D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В районе осуществляют 2 организации социального обслуживания: ГКУ «Соцзащита населения по 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Ичалковскому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району Республики Мордовия»,  Автономная некоммерческая организация социального обслуживания граждан «Исток». Автономная некоммерческая организация социального обслуживания граждан «Исток» оказывает социальную помощь на дому, обслуживается  308  человек.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2F6993" w:rsidRPr="00F73333" w:rsidRDefault="002F6993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6095" w:type="dxa"/>
          </w:tcPr>
          <w:p w:rsidR="00073602" w:rsidRPr="00F73333" w:rsidRDefault="00073602" w:rsidP="00073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Создано Общество с ограниченной ответственностью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Ичалковские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очистные сооружения» на условиях государственно-частного партнерства Очистные сооружения  ООО «Сыродельный комбинат «Ичалковский» и 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6A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емля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, мощностью 1,6 тыс. ед. в сутки, стоимостью 230 млн. руб., из них бюджетные средства 90 млн. руб.</w:t>
            </w:r>
          </w:p>
          <w:p w:rsidR="002F6993" w:rsidRPr="00F73333" w:rsidRDefault="00073602" w:rsidP="0007360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 сфере водоснабжения - ООО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» на основе концессионного соглашения  по объектам водоснабжения.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Данные о раскрытии информации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предоставлению жилищно-коммунальных услуг размещены на официальном сайте </w:t>
            </w:r>
            <w:hyperlink r:id="rId6" w:history="1"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ichalkirm</w:t>
              </w:r>
              <w:proofErr w:type="spellEnd"/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F733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. Сбор и вывоз ТБО осуществляется на полигон ТБО.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</w:tcPr>
          <w:p w:rsidR="002F6993" w:rsidRPr="00F73333" w:rsidRDefault="002F6993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6095" w:type="dxa"/>
          </w:tcPr>
          <w:p w:rsidR="002F6993" w:rsidRPr="00F73333" w:rsidRDefault="002F6993" w:rsidP="00B00D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Потребительский рынок </w:t>
            </w:r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характеризуется развитой сетью предприятий торговли и услуг, высокой насыщенностью конкурентоспособных товаров, а также высокой предпринимательской активностью. </w:t>
            </w:r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В районе осуществляют деятельность торговые точки федеральных сетей: «Магнит», «Пятерочка», «</w:t>
            </w:r>
            <w:proofErr w:type="spellStart"/>
            <w:proofErr w:type="gramStart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Красное-белое</w:t>
            </w:r>
            <w:proofErr w:type="spellEnd"/>
            <w:proofErr w:type="gramEnd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», «Бристоль», «</w:t>
            </w:r>
            <w:proofErr w:type="spellStart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РубльБум</w:t>
            </w:r>
            <w:proofErr w:type="spellEnd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», «Фортуна», Республиканские сети: «</w:t>
            </w:r>
            <w:proofErr w:type="spellStart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Чамзинские</w:t>
            </w:r>
            <w:proofErr w:type="spellEnd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продукты»,</w:t>
            </w:r>
            <w:r w:rsidR="005D6BBB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Норовскик</w:t>
            </w:r>
            <w:proofErr w:type="spellEnd"/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продукты», сетевые и несетевые магазины.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новых предприятий торговли не только увеличивает обеспеченность торговыми площадями, способствует повышению культуры обслуживания, но и создает дополнительные рабочие места. </w:t>
            </w:r>
          </w:p>
          <w:p w:rsidR="002F6993" w:rsidRPr="00F73333" w:rsidRDefault="008908F8" w:rsidP="00DD6C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2F6993" w:rsidRPr="00F73333" w:rsidRDefault="002F6993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услуг  перевозок пассажиров наземным транспортом</w:t>
            </w:r>
          </w:p>
        </w:tc>
        <w:tc>
          <w:tcPr>
            <w:tcW w:w="6095" w:type="dxa"/>
          </w:tcPr>
          <w:p w:rsidR="002F6993" w:rsidRPr="00F73333" w:rsidRDefault="000007C8" w:rsidP="00000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Перевозки пассажиров осуществляют: ГУП «Автоколонна 1659», ООО «</w:t>
            </w:r>
            <w:proofErr w:type="spell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Ичалковская</w:t>
            </w:r>
            <w:proofErr w:type="spell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Автоколонна», 2 службы «ТАКСИ». В ближайшее время будет проводиться конкурс по определению подрядчика перевозок на муниципальных маршрутах. </w:t>
            </w:r>
            <w:r w:rsidR="002F6993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Для развития конкуренции необходимо привлекать перевозчиков, имеющих более новые транспортные средства, транспортные средства, работающие на газомоторном топливе, и предназначенные для перевозки </w:t>
            </w:r>
            <w:proofErr w:type="spellStart"/>
            <w:r w:rsidR="002F6993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>маломобильных</w:t>
            </w:r>
            <w:proofErr w:type="spellEnd"/>
            <w:r w:rsidR="002F6993" w:rsidRPr="00F73333">
              <w:rPr>
                <w:rFonts w:ascii="Times New Roman" w:hAnsi="Times New Roman" w:cs="Times New Roman"/>
                <w:color w:val="2D2D2D"/>
                <w:spacing w:val="1"/>
                <w:sz w:val="18"/>
                <w:szCs w:val="18"/>
                <w:shd w:val="clear" w:color="auto" w:fill="FFFFFF"/>
              </w:rPr>
              <w:t xml:space="preserve"> групп населения.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2F6993" w:rsidRPr="00F73333" w:rsidRDefault="002F6993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услуг  связи</w:t>
            </w:r>
          </w:p>
        </w:tc>
        <w:tc>
          <w:tcPr>
            <w:tcW w:w="6095" w:type="dxa"/>
          </w:tcPr>
          <w:p w:rsidR="002F6993" w:rsidRPr="00F73333" w:rsidRDefault="002F6993" w:rsidP="00000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Рынок связи </w:t>
            </w:r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района характеризуется значительным количеством участников и высоким уровнем развития конкуренции. Телекоммуникационная инфраструктура активно развивается на основе формирования современных высокоскоростных сетей и современных технологий мобильной связи.</w:t>
            </w:r>
            <w:r w:rsidRPr="00F73333">
              <w:rPr>
                <w:sz w:val="18"/>
                <w:szCs w:val="18"/>
              </w:rPr>
              <w:t xml:space="preserve">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Несмотря на достаточно развитую телекоммуникационную инфраструктуру, в районе остается актуальной проблема </w:t>
            </w:r>
            <w:r w:rsidR="00EA09F9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о повышении доступности услуг телевидения и интернет в </w:t>
            </w:r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20 отдаленных </w:t>
            </w:r>
            <w:r w:rsidR="00EA09F9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населенных пунктах </w:t>
            </w:r>
            <w:r w:rsidR="000007C8" w:rsidRPr="00F73333">
              <w:rPr>
                <w:rFonts w:ascii="Times New Roman" w:hAnsi="Times New Roman" w:cs="Times New Roman"/>
                <w:sz w:val="18"/>
                <w:szCs w:val="18"/>
              </w:rPr>
              <w:t>Ичалковского</w:t>
            </w:r>
            <w:r w:rsidR="00EA09F9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района.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Задачей развития конкуренции на рынке связи будет </w:t>
            </w:r>
            <w:r w:rsidR="00EA09F9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пунктов волоконно-оптических линий связи.  </w:t>
            </w:r>
          </w:p>
        </w:tc>
      </w:tr>
      <w:tr w:rsidR="002F6993" w:rsidTr="00EB2B09">
        <w:tc>
          <w:tcPr>
            <w:tcW w:w="817" w:type="dxa"/>
          </w:tcPr>
          <w:p w:rsidR="002F6993" w:rsidRDefault="002F6993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2F6993" w:rsidRPr="00F73333" w:rsidRDefault="002F6993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6095" w:type="dxa"/>
          </w:tcPr>
          <w:p w:rsidR="002F6993" w:rsidRPr="00F73333" w:rsidRDefault="001C574C" w:rsidP="00FA5F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A33" w:rsidRPr="00F73333">
              <w:rPr>
                <w:rFonts w:ascii="Times New Roman" w:hAnsi="Times New Roman" w:cs="Times New Roman"/>
                <w:sz w:val="18"/>
                <w:szCs w:val="18"/>
              </w:rPr>
              <w:t>В районе действуют МБУ «Центр культуры», «</w:t>
            </w:r>
            <w:proofErr w:type="spellStart"/>
            <w:r w:rsidR="00FA5F3B">
              <w:rPr>
                <w:rFonts w:ascii="Times New Roman" w:hAnsi="Times New Roman" w:cs="Times New Roman"/>
                <w:sz w:val="18"/>
                <w:szCs w:val="18"/>
              </w:rPr>
              <w:t>Ичалковская</w:t>
            </w:r>
            <w:proofErr w:type="spellEnd"/>
            <w:r w:rsidR="00FA5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A33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детская школа искусств». В структуре МБУ «Центр культуры»-30 клубов, молодежный центр. </w:t>
            </w:r>
            <w:r w:rsidR="00710B66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в праздник «День образования района» принимают участие музыкальные коллективы районов Республики, </w:t>
            </w:r>
            <w:proofErr w:type="gramStart"/>
            <w:r w:rsidR="00710B66" w:rsidRPr="00F733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710B66" w:rsidRPr="00F733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5F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0B66" w:rsidRPr="00F73333">
              <w:rPr>
                <w:rFonts w:ascii="Times New Roman" w:hAnsi="Times New Roman" w:cs="Times New Roman"/>
                <w:sz w:val="18"/>
                <w:szCs w:val="18"/>
              </w:rPr>
              <w:t>аранска и соседних регионов.</w:t>
            </w:r>
          </w:p>
        </w:tc>
      </w:tr>
      <w:tr w:rsidR="00953898" w:rsidTr="00EB2B09">
        <w:tc>
          <w:tcPr>
            <w:tcW w:w="817" w:type="dxa"/>
          </w:tcPr>
          <w:p w:rsidR="00953898" w:rsidRDefault="005B3521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953898" w:rsidRPr="00F73333" w:rsidRDefault="00953898" w:rsidP="00414E28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производства и переработки молока</w:t>
            </w:r>
          </w:p>
        </w:tc>
        <w:tc>
          <w:tcPr>
            <w:tcW w:w="6095" w:type="dxa"/>
          </w:tcPr>
          <w:p w:rsidR="00953898" w:rsidRPr="00F73333" w:rsidRDefault="00953898" w:rsidP="005B35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Администрацией </w:t>
            </w:r>
            <w:r w:rsidR="00235082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Ичалковского</w:t>
            </w:r>
            <w:r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 проводится мониторинг оценки состояния конкурентной среды на рынке производства и переработки молока и внедрения лучших практик развития конкуренции на курируемом рынке, а также оказывается содействие в создании благоприятных условий функционирования хозяйствующих субъектов, осуществляющих деятельность на рынке производства и переработки молока и способствующих развитию конкурентных отношений. В  2017 год</w:t>
            </w:r>
            <w:r w:rsidR="00235082"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733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была оказана государственная </w:t>
            </w:r>
            <w:r w:rsidRPr="005B3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помощь </w:t>
            </w:r>
            <w:r w:rsidR="005B3521" w:rsidRPr="005B352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F79C1" w:rsidRPr="005B3521">
              <w:rPr>
                <w:rFonts w:ascii="Times New Roman" w:hAnsi="Times New Roman"/>
                <w:sz w:val="18"/>
                <w:szCs w:val="18"/>
              </w:rPr>
              <w:t>1 субъект</w:t>
            </w:r>
            <w:r w:rsidR="007E1366" w:rsidRPr="005B3521">
              <w:rPr>
                <w:rFonts w:ascii="Times New Roman" w:hAnsi="Times New Roman"/>
                <w:sz w:val="18"/>
                <w:szCs w:val="18"/>
              </w:rPr>
              <w:t>у</w:t>
            </w:r>
            <w:r w:rsidRPr="005B3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малого и среднего предпринимательства на сумму </w:t>
            </w:r>
            <w:r w:rsidR="005B3521" w:rsidRPr="005B3521">
              <w:rPr>
                <w:rFonts w:ascii="Times New Roman" w:hAnsi="Times New Roman"/>
                <w:sz w:val="18"/>
                <w:szCs w:val="18"/>
              </w:rPr>
              <w:t>7415</w:t>
            </w:r>
            <w:r w:rsidRPr="005B3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</w:t>
            </w:r>
            <w:r w:rsidR="005B35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B3521">
              <w:rPr>
                <w:rFonts w:ascii="Times New Roman" w:eastAsia="Calibri" w:hAnsi="Times New Roman" w:cs="Times New Roman"/>
                <w:sz w:val="18"/>
                <w:szCs w:val="18"/>
              </w:rPr>
              <w:t>рублей</w:t>
            </w:r>
            <w:r w:rsidRPr="005B3521">
              <w:rPr>
                <w:rFonts w:ascii="Times New Roman" w:hAnsi="Times New Roman"/>
                <w:sz w:val="18"/>
                <w:szCs w:val="18"/>
              </w:rPr>
              <w:t>.</w:t>
            </w:r>
            <w:r w:rsidRPr="00F733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Реализуются инвестиционный проект: </w:t>
            </w:r>
            <w:r w:rsidR="00235082" w:rsidRPr="00F73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"Дружба" Ичалковского муниципального района РМ  "Строительство молочного комплекса на 1200 коров в </w:t>
            </w:r>
            <w:proofErr w:type="spellStart"/>
            <w:r w:rsidR="00235082" w:rsidRPr="00F73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="00235082" w:rsidRPr="00F73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="00235082" w:rsidRPr="00F73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ергуды</w:t>
            </w:r>
            <w:proofErr w:type="spellEnd"/>
            <w:r w:rsidR="00235082" w:rsidRPr="00F73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Ичалковского  района Республики Мордовия"</w:t>
            </w:r>
            <w:r w:rsidR="00FA5F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53898" w:rsidTr="00EB2B09">
        <w:tc>
          <w:tcPr>
            <w:tcW w:w="817" w:type="dxa"/>
          </w:tcPr>
          <w:p w:rsidR="00953898" w:rsidRDefault="006F79C1" w:rsidP="0088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53898" w:rsidRPr="00F73333" w:rsidRDefault="006F79C1" w:rsidP="006F79C1">
            <w:pPr>
              <w:pStyle w:val="Default"/>
              <w:jc w:val="both"/>
              <w:rPr>
                <w:sz w:val="20"/>
                <w:szCs w:val="20"/>
              </w:rPr>
            </w:pPr>
            <w:r w:rsidRPr="00F73333">
              <w:rPr>
                <w:sz w:val="20"/>
                <w:szCs w:val="20"/>
              </w:rPr>
              <w:t>Рынок услуг общественного пита</w:t>
            </w:r>
            <w:r w:rsidR="0052069C" w:rsidRPr="00F73333">
              <w:rPr>
                <w:sz w:val="20"/>
                <w:szCs w:val="20"/>
              </w:rPr>
              <w:t>ния</w:t>
            </w:r>
          </w:p>
        </w:tc>
        <w:tc>
          <w:tcPr>
            <w:tcW w:w="6095" w:type="dxa"/>
          </w:tcPr>
          <w:p w:rsidR="0070292B" w:rsidRPr="00F73333" w:rsidRDefault="00EB2B09" w:rsidP="008E41B8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3521">
              <w:rPr>
                <w:rFonts w:ascii="Times New Roman" w:hAnsi="Times New Roman" w:cs="Times New Roman"/>
                <w:sz w:val="18"/>
                <w:szCs w:val="18"/>
              </w:rPr>
              <w:t>На территории  Ичалковского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1 января 201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года находятся 6 стационарных объектов открытой сети:  кафе-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3 единиц; бар - 1 единица; кофейня-1.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Общая площадь стационарных объектов открытой сети –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811,1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кв.м., общая площадь зала обслуживания посетителей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кв.м. Общее количество  посадочных мест -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="0070292B" w:rsidRPr="00F73333">
              <w:rPr>
                <w:sz w:val="18"/>
                <w:szCs w:val="18"/>
              </w:rPr>
              <w:t xml:space="preserve"> </w:t>
            </w:r>
          </w:p>
          <w:p w:rsidR="0070292B" w:rsidRPr="00F73333" w:rsidRDefault="0070292B" w:rsidP="0070292B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году закрылось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кафе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из-за нерентабельности, тем самым общая площадь уменьшилась  на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>159,7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, а количество посадочных мест на </w:t>
            </w:r>
            <w:r w:rsidR="00235082" w:rsidRPr="00F73333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  <w:r w:rsidRPr="00F7333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EB2B09" w:rsidRPr="00F73333" w:rsidRDefault="00EB2B09" w:rsidP="00EB2B09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898" w:rsidRPr="00F73333" w:rsidRDefault="00953898" w:rsidP="00D537F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8808D6" w:rsidRPr="008808D6" w:rsidRDefault="008808D6" w:rsidP="008808D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808D6" w:rsidRPr="008808D6" w:rsidSect="00F733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6308"/>
    <w:multiLevelType w:val="hybridMultilevel"/>
    <w:tmpl w:val="B3DC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F18"/>
    <w:multiLevelType w:val="multilevel"/>
    <w:tmpl w:val="9530C3EA"/>
    <w:lvl w:ilvl="0">
      <w:start w:val="1"/>
      <w:numFmt w:val="decimal"/>
      <w:lvlText w:val="%1."/>
      <w:lvlJc w:val="left"/>
      <w:pPr>
        <w:tabs>
          <w:tab w:val="num" w:pos="295"/>
        </w:tabs>
        <w:ind w:left="-709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D6"/>
    <w:rsid w:val="000007C8"/>
    <w:rsid w:val="00021DC2"/>
    <w:rsid w:val="0005700B"/>
    <w:rsid w:val="00066E45"/>
    <w:rsid w:val="00073602"/>
    <w:rsid w:val="00090D4B"/>
    <w:rsid w:val="000C0399"/>
    <w:rsid w:val="000C2FE7"/>
    <w:rsid w:val="000E5ED3"/>
    <w:rsid w:val="00100F26"/>
    <w:rsid w:val="001756A4"/>
    <w:rsid w:val="001C122D"/>
    <w:rsid w:val="001C574C"/>
    <w:rsid w:val="001D2835"/>
    <w:rsid w:val="00235082"/>
    <w:rsid w:val="00280F9B"/>
    <w:rsid w:val="002B3279"/>
    <w:rsid w:val="002F6993"/>
    <w:rsid w:val="003134A4"/>
    <w:rsid w:val="00356ACC"/>
    <w:rsid w:val="0038690D"/>
    <w:rsid w:val="003A51A3"/>
    <w:rsid w:val="003D69F6"/>
    <w:rsid w:val="003E297E"/>
    <w:rsid w:val="003F3BCA"/>
    <w:rsid w:val="00464DAC"/>
    <w:rsid w:val="0050721A"/>
    <w:rsid w:val="0052069C"/>
    <w:rsid w:val="005553B4"/>
    <w:rsid w:val="005B3521"/>
    <w:rsid w:val="005D6BBB"/>
    <w:rsid w:val="0061082C"/>
    <w:rsid w:val="0064390A"/>
    <w:rsid w:val="006A0124"/>
    <w:rsid w:val="006A3E27"/>
    <w:rsid w:val="006A4B22"/>
    <w:rsid w:val="006C6022"/>
    <w:rsid w:val="006F2A33"/>
    <w:rsid w:val="006F79C1"/>
    <w:rsid w:val="0070292B"/>
    <w:rsid w:val="00710B66"/>
    <w:rsid w:val="00717A10"/>
    <w:rsid w:val="00740006"/>
    <w:rsid w:val="00747F87"/>
    <w:rsid w:val="00765CD1"/>
    <w:rsid w:val="0078308D"/>
    <w:rsid w:val="007B238F"/>
    <w:rsid w:val="007E1366"/>
    <w:rsid w:val="0080030E"/>
    <w:rsid w:val="00803D6E"/>
    <w:rsid w:val="0081080B"/>
    <w:rsid w:val="008808D6"/>
    <w:rsid w:val="008908F8"/>
    <w:rsid w:val="008A3B6E"/>
    <w:rsid w:val="008B756B"/>
    <w:rsid w:val="008C08F5"/>
    <w:rsid w:val="008D1F22"/>
    <w:rsid w:val="008E41B8"/>
    <w:rsid w:val="00912A6A"/>
    <w:rsid w:val="00953898"/>
    <w:rsid w:val="009A35BB"/>
    <w:rsid w:val="00A13BD3"/>
    <w:rsid w:val="00A15977"/>
    <w:rsid w:val="00A21C35"/>
    <w:rsid w:val="00AC46A1"/>
    <w:rsid w:val="00AE0FCD"/>
    <w:rsid w:val="00AE19D8"/>
    <w:rsid w:val="00AE6640"/>
    <w:rsid w:val="00AE7E6C"/>
    <w:rsid w:val="00AF3D31"/>
    <w:rsid w:val="00B00D3F"/>
    <w:rsid w:val="00B06341"/>
    <w:rsid w:val="00B11E4D"/>
    <w:rsid w:val="00B219E6"/>
    <w:rsid w:val="00B55E9B"/>
    <w:rsid w:val="00B701DA"/>
    <w:rsid w:val="00B948C5"/>
    <w:rsid w:val="00BB7D43"/>
    <w:rsid w:val="00BE5D01"/>
    <w:rsid w:val="00C275A8"/>
    <w:rsid w:val="00C82BD8"/>
    <w:rsid w:val="00CE709F"/>
    <w:rsid w:val="00D20371"/>
    <w:rsid w:val="00D3045E"/>
    <w:rsid w:val="00D537FC"/>
    <w:rsid w:val="00D54FDD"/>
    <w:rsid w:val="00D7644F"/>
    <w:rsid w:val="00DD6CF1"/>
    <w:rsid w:val="00DF6A1B"/>
    <w:rsid w:val="00E42FE9"/>
    <w:rsid w:val="00EA09F9"/>
    <w:rsid w:val="00EB2B09"/>
    <w:rsid w:val="00EC3157"/>
    <w:rsid w:val="00EE55AF"/>
    <w:rsid w:val="00EF1C87"/>
    <w:rsid w:val="00F173CB"/>
    <w:rsid w:val="00F73333"/>
    <w:rsid w:val="00F97563"/>
    <w:rsid w:val="00FA5F3B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808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21DC2"/>
  </w:style>
  <w:style w:type="character" w:styleId="a4">
    <w:name w:val="Hyperlink"/>
    <w:basedOn w:val="a0"/>
    <w:uiPriority w:val="99"/>
    <w:semiHidden/>
    <w:unhideWhenUsed/>
    <w:rsid w:val="00021DC2"/>
    <w:rPr>
      <w:color w:val="0000FF"/>
      <w:u w:val="single"/>
    </w:rPr>
  </w:style>
  <w:style w:type="paragraph" w:customStyle="1" w:styleId="Default">
    <w:name w:val="Default"/>
    <w:rsid w:val="00AE1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8808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hal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FFB-FD62-4085-A2ED-AC67F14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46</cp:revision>
  <cp:lastPrinted>2017-07-12T12:05:00Z</cp:lastPrinted>
  <dcterms:created xsi:type="dcterms:W3CDTF">2017-06-14T13:13:00Z</dcterms:created>
  <dcterms:modified xsi:type="dcterms:W3CDTF">2018-03-02T12:56:00Z</dcterms:modified>
</cp:coreProperties>
</file>