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7" w:rsidRPr="00ED1B67" w:rsidRDefault="00ED1B67" w:rsidP="00ED1B67">
      <w:pPr>
        <w:pStyle w:val="a3"/>
        <w:spacing w:after="0"/>
        <w:jc w:val="both"/>
        <w:rPr>
          <w:sz w:val="28"/>
          <w:szCs w:val="28"/>
        </w:rPr>
      </w:pPr>
      <w:r w:rsidRPr="00ED1B67">
        <w:rPr>
          <w:color w:val="000000"/>
          <w:sz w:val="28"/>
          <w:szCs w:val="28"/>
        </w:rPr>
        <w:t>С 1 января 2020 года в России введена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сохранять бумажную книжку столько, сколько это необходимо.</w:t>
      </w:r>
      <w:r w:rsidRPr="00ED1B67">
        <w:rPr>
          <w:color w:val="000000"/>
          <w:sz w:val="28"/>
          <w:szCs w:val="28"/>
          <w:lang w:val="en-US"/>
        </w:rPr>
        <w:t> </w:t>
      </w:r>
      <w:r w:rsidRPr="00ED1B67">
        <w:rPr>
          <w:color w:val="000000"/>
          <w:sz w:val="28"/>
          <w:szCs w:val="28"/>
        </w:rPr>
        <w:t xml:space="preserve">Электронная трудовая книжка не предполагает физического носителя и будет реализована только в цифровом формате.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Просмотреть сведения электронной трудовой книжки застрахованные лица могут также через Личный кабинет гражданина или портал </w:t>
      </w:r>
      <w:proofErr w:type="spellStart"/>
      <w:r w:rsidRPr="00ED1B67">
        <w:rPr>
          <w:color w:val="000000"/>
          <w:sz w:val="28"/>
          <w:szCs w:val="28"/>
        </w:rPr>
        <w:t>Госуслуг</w:t>
      </w:r>
      <w:proofErr w:type="spellEnd"/>
      <w:r w:rsidRPr="00ED1B67">
        <w:rPr>
          <w:color w:val="000000"/>
          <w:sz w:val="28"/>
          <w:szCs w:val="28"/>
        </w:rPr>
        <w:t>, а также через соответствующие приложения для смартфонов.</w:t>
      </w:r>
      <w:r w:rsidRPr="00ED1B67">
        <w:rPr>
          <w:color w:val="000000"/>
          <w:sz w:val="28"/>
          <w:szCs w:val="28"/>
          <w:lang w:val="en-US"/>
        </w:rPr>
        <w:t> </w:t>
      </w:r>
      <w:r w:rsidRPr="00ED1B67">
        <w:rPr>
          <w:sz w:val="28"/>
          <w:szCs w:val="28"/>
        </w:rPr>
        <w:br/>
      </w:r>
      <w:r w:rsidRPr="00ED1B67">
        <w:rPr>
          <w:color w:val="000000"/>
          <w:sz w:val="28"/>
          <w:szCs w:val="28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Пенсионного фонда России или многофункциональный центр </w:t>
      </w:r>
      <w:proofErr w:type="spellStart"/>
      <w:r w:rsidRPr="00ED1B67">
        <w:rPr>
          <w:color w:val="000000"/>
          <w:sz w:val="28"/>
          <w:szCs w:val="28"/>
        </w:rPr>
        <w:t>госуслуг</w:t>
      </w:r>
      <w:proofErr w:type="spellEnd"/>
      <w:r w:rsidRPr="00ED1B67">
        <w:rPr>
          <w:color w:val="000000"/>
          <w:sz w:val="28"/>
          <w:szCs w:val="28"/>
        </w:rPr>
        <w:t xml:space="preserve"> (МФЦ). Услуга предоставляется экстерриториально, без привязки к месту жительства или работы человека.</w:t>
      </w:r>
      <w:r w:rsidRPr="00ED1B67">
        <w:rPr>
          <w:color w:val="000000"/>
          <w:sz w:val="28"/>
          <w:szCs w:val="28"/>
          <w:lang w:val="en-US"/>
        </w:rPr>
        <w:t> </w:t>
      </w:r>
      <w:r w:rsidRPr="00ED1B67">
        <w:rPr>
          <w:sz w:val="28"/>
          <w:szCs w:val="28"/>
        </w:rPr>
        <w:t xml:space="preserve"> </w:t>
      </w:r>
    </w:p>
    <w:p w:rsidR="00ED1B67" w:rsidRPr="00ED1B67" w:rsidRDefault="00ED1B67" w:rsidP="00ED1B67">
      <w:pPr>
        <w:pStyle w:val="a3"/>
        <w:spacing w:after="0"/>
        <w:jc w:val="both"/>
        <w:rPr>
          <w:sz w:val="28"/>
          <w:szCs w:val="28"/>
        </w:rPr>
      </w:pPr>
    </w:p>
    <w:p w:rsidR="00477DDC" w:rsidRPr="00ED1B67" w:rsidRDefault="00477DDC" w:rsidP="00ED1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DDC" w:rsidRPr="00ED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1B67"/>
    <w:rsid w:val="00477DDC"/>
    <w:rsid w:val="00E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2021-01-21T09:18:00Z</dcterms:created>
  <dcterms:modified xsi:type="dcterms:W3CDTF">2021-01-21T09:18:00Z</dcterms:modified>
</cp:coreProperties>
</file>